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65" w:rsidRDefault="00B2476E" w:rsidP="005521E4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Jaunimo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saviugdos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ir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asmeninio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tobul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jimo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programa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09"/>
        <w:gridCol w:w="7663"/>
      </w:tblGrid>
      <w:tr w:rsidR="00AE7465" w:rsidRPr="00266F02">
        <w:trPr>
          <w:trHeight w:val="250"/>
        </w:trPr>
        <w:tc>
          <w:tcPr>
            <w:tcW w:w="0" w:type="auto"/>
          </w:tcPr>
          <w:p w:rsidR="00AE7465" w:rsidRPr="00266F02" w:rsidRDefault="00B2476E" w:rsidP="005521E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b/>
                <w:sz w:val="20"/>
                <w:szCs w:val="20"/>
              </w:rPr>
              <w:t>Reikalavimai</w:t>
            </w:r>
            <w:proofErr w:type="spellEnd"/>
            <w:r w:rsidRPr="00266F02">
              <w:rPr>
                <w:rFonts w:ascii="Calibri"/>
                <w:b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b/>
                <w:sz w:val="20"/>
                <w:szCs w:val="20"/>
              </w:rPr>
              <w:t>dalyviams</w:t>
            </w:r>
            <w:proofErr w:type="spellEnd"/>
            <w:r w:rsidRPr="00266F02">
              <w:rPr>
                <w:rFonts w:ascii="Calibri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AE7465" w:rsidRPr="00266F02" w:rsidRDefault="00B2476E" w:rsidP="005521E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sz w:val="20"/>
                <w:szCs w:val="20"/>
              </w:rPr>
              <w:t>Programa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(192 val.) -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skirta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8-12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klasių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mokiniams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tapti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sąmoningomis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asmenybėmis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sugebančiomis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atsakingai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kūrybingai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spręsti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problemas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aktyviai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6F02">
              <w:rPr>
                <w:rFonts w:ascii="Calibri"/>
                <w:sz w:val="20"/>
                <w:szCs w:val="20"/>
              </w:rPr>
              <w:t>veikti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bendruomenėje</w:t>
            </w:r>
            <w:proofErr w:type="spellEnd"/>
            <w:proofErr w:type="gramEnd"/>
            <w:r w:rsidRPr="00266F02">
              <w:rPr>
                <w:rFonts w:ascii="Calibri"/>
                <w:sz w:val="20"/>
                <w:szCs w:val="20"/>
              </w:rPr>
              <w:t>.</w:t>
            </w:r>
          </w:p>
        </w:tc>
      </w:tr>
      <w:tr w:rsidR="00AE7465" w:rsidRPr="00266F02">
        <w:trPr>
          <w:trHeight w:val="250"/>
        </w:trPr>
        <w:tc>
          <w:tcPr>
            <w:tcW w:w="0" w:type="auto"/>
          </w:tcPr>
          <w:p w:rsidR="00AE7465" w:rsidRPr="00266F02" w:rsidRDefault="00B2476E" w:rsidP="005521E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b/>
                <w:sz w:val="20"/>
                <w:szCs w:val="20"/>
              </w:rPr>
              <w:t>Aprašymas</w:t>
            </w:r>
            <w:proofErr w:type="spellEnd"/>
            <w:r w:rsidRPr="00266F02">
              <w:rPr>
                <w:rFonts w:ascii="Calibri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AE7465" w:rsidRPr="00266F02" w:rsidRDefault="00B2476E" w:rsidP="00266F02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sz w:val="20"/>
                <w:szCs w:val="20"/>
              </w:rPr>
              <w:t>Kasdien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tobulėjančiame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kompiuterizuotame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integruotame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pasaulyje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iškyla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daugiau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įvairių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problemų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pavojų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jaunos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dar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nesusiformavusios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asmenybės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socializacijai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į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visavertį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gyvenimą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visuomenę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Jaunuoliai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dažniau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stokoja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socialinių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gebėjimų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kurie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jiems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leistų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užmegzti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palaikyti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draugiškus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santykius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bendraamžiais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konfliktus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spręsti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socialiai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priimtinais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būdais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dalyvauti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įvairioje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socialiai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prasmingoje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veikloje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Neturėdami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tinkamai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išugdytų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socialinių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įgūdžių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jaunuoliai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linkę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save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nuvertinti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užsiimti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nusikalstama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veikla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patiria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mokymosi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66F02">
              <w:rPr>
                <w:rFonts w:ascii="Calibri"/>
                <w:sz w:val="20"/>
                <w:szCs w:val="20"/>
              </w:rPr>
              <w:t>adaptacijos</w:t>
            </w:r>
            <w:proofErr w:type="spellEnd"/>
            <w:proofErr w:type="gram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sunkumus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Sparčiai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kylančios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jaunų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žmonių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socialinės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problemos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patvirtina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jaunuolių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socialinių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gebėjimų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ugdymo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aktualumą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Šalies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statistika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rodo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kad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ne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visos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šeimos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užtikrina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vaikų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gerovę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tinkamai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atlieka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vaikų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ugdymo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socializacijos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funkciją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Mokykla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taip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pat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negali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išspręsti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uždavinių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kurie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laiduotų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kuo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visapusiškesnę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vaiko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fizinių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psichinių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dvasinių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jėgų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plėtotę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sudarytų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idealias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sąlygas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atsiskleisti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vaiko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individualybei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skatintų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tobulėti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ugdyti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savo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asmenybę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Dėl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paauglio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priešpriešos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visu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jį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supančiu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pasauliu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jam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sunku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rasti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atsakymus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į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šiuo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gyvenimo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momentu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kankinančius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klausimus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Pagalbininku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sprendžiant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problemas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gali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tapti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„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Jaunimo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saviugdos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asmeninio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tobulėjimo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programa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“. 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Programos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turinį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sudaro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teoriniai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praktiniai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užsiėmimai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: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grupiniai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bei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individualus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užsiėmimai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kūrybinės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bei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komandos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formavimo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užduotys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simuliacijos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diskusijos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aptarimai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Per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suteikiamas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žinias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aktyvią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veiklą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darbą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grupėje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bus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skatinamas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jaunuolių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asmenybės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augimas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lavinami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bendravimo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įgūdžiai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ugdomas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pilietiškumas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tolerancija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Jaunuoliai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išmoks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įveikti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viešojo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kalbėjimo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baimę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pagilins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žinias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apie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lyderystę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verslumą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išmoks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suprasti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save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kitus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spręsti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konfliktus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pajusti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komandinę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dvasią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Aktyviųjų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metodų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pagalba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mokysis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geriau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pažinti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labiau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pasitikėti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savimi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bendrauti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dirbti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komandoje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Visokeriopai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bus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skatinamas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jų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smalsumas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noras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veikti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,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kurti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improvizuoti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Programos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turinį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sudaro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šios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temos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: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Planavimas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asmeninių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tikslų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siekimas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-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Karjeros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planavimas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-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Savęs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pažinima</w:t>
            </w:r>
            <w:r w:rsidR="00081E52" w:rsidRPr="00266F02">
              <w:rPr>
                <w:rFonts w:ascii="Calibri"/>
                <w:sz w:val="20"/>
                <w:szCs w:val="20"/>
              </w:rPr>
              <w:t>s</w:t>
            </w:r>
            <w:proofErr w:type="spellEnd"/>
            <w:r w:rsidR="00266F02">
              <w:rPr>
                <w:rFonts w:ascii="Calibri"/>
                <w:sz w:val="20"/>
                <w:szCs w:val="20"/>
              </w:rPr>
              <w:t xml:space="preserve">.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Atstovavimas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-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Viešasis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kalbė</w:t>
            </w:r>
            <w:r w:rsidR="00081E52" w:rsidRPr="00266F02">
              <w:rPr>
                <w:rFonts w:ascii="Calibri"/>
                <w:sz w:val="20"/>
                <w:szCs w:val="20"/>
              </w:rPr>
              <w:t>jimas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-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Kūno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kalbą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-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Mokymasis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mokytis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-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Lyderystė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-   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Komandinis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81E52" w:rsidRPr="00266F02">
              <w:rPr>
                <w:rFonts w:ascii="Calibri"/>
                <w:sz w:val="20"/>
                <w:szCs w:val="20"/>
              </w:rPr>
              <w:t>darbas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</w:t>
            </w:r>
            <w:r w:rsid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Konfliktų</w:t>
            </w:r>
            <w:proofErr w:type="spellEnd"/>
            <w:proofErr w:type="gramEnd"/>
            <w:r w:rsidR="00081E52"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sprendimas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- </w:t>
            </w:r>
            <w:proofErr w:type="spellStart"/>
            <w:r w:rsidR="00081E52" w:rsidRPr="00266F02">
              <w:rPr>
                <w:rFonts w:ascii="Calibri"/>
                <w:sz w:val="20"/>
                <w:szCs w:val="20"/>
              </w:rPr>
              <w:t>Verslumas</w:t>
            </w:r>
            <w:proofErr w:type="spellEnd"/>
            <w:r w:rsidR="00081E52" w:rsidRPr="00266F02">
              <w:rPr>
                <w:rFonts w:ascii="Calibri"/>
                <w:sz w:val="20"/>
                <w:szCs w:val="20"/>
              </w:rPr>
              <w:t xml:space="preserve"> -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Savanorystė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ir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sz w:val="20"/>
                <w:szCs w:val="20"/>
              </w:rPr>
              <w:t>pilietiškumas</w:t>
            </w:r>
            <w:proofErr w:type="spellEnd"/>
            <w:r w:rsidRPr="00266F02">
              <w:rPr>
                <w:rFonts w:ascii="Calibri"/>
                <w:sz w:val="20"/>
                <w:szCs w:val="20"/>
              </w:rPr>
              <w:t>.</w:t>
            </w:r>
          </w:p>
        </w:tc>
      </w:tr>
      <w:tr w:rsidR="00266F02" w:rsidRPr="00266F02" w:rsidTr="002958F2">
        <w:trPr>
          <w:trHeight w:val="250"/>
        </w:trPr>
        <w:tc>
          <w:tcPr>
            <w:tcW w:w="0" w:type="auto"/>
          </w:tcPr>
          <w:p w:rsidR="002958F2" w:rsidRPr="00266F02" w:rsidRDefault="002958F2" w:rsidP="002958F2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Programos</w:t>
            </w:r>
            <w:proofErr w:type="spellEnd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vykdytojas</w:t>
            </w:r>
            <w:proofErr w:type="spellEnd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958F2" w:rsidRPr="00266F02" w:rsidRDefault="002958F2" w:rsidP="002958F2">
            <w:pPr>
              <w:spacing w:after="0"/>
              <w:jc w:val="both"/>
              <w:rPr>
                <w:rFonts w:ascii="Calibri"/>
                <w:color w:val="76923C" w:themeColor="accent3" w:themeShade="BF"/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>Birutė</w:t>
            </w:r>
            <w:proofErr w:type="spellEnd"/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>Bagdonienė</w:t>
            </w:r>
            <w:proofErr w:type="spellEnd"/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 xml:space="preserve">, </w:t>
            </w:r>
            <w:hyperlink r:id="rId4" w:history="1">
              <w:r w:rsidRPr="00266F02">
                <w:rPr>
                  <w:rStyle w:val="Hipersaitas"/>
                  <w:rFonts w:ascii="Calibri"/>
                  <w:color w:val="76923C" w:themeColor="accent3" w:themeShade="BF"/>
                  <w:sz w:val="20"/>
                  <w:szCs w:val="20"/>
                </w:rPr>
                <w:t>jaunimas@zebra.lt</w:t>
              </w:r>
            </w:hyperlink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 xml:space="preserve"> ; 861029473</w:t>
            </w:r>
          </w:p>
        </w:tc>
      </w:tr>
      <w:tr w:rsidR="00266F02" w:rsidRPr="00266F02" w:rsidTr="002958F2">
        <w:trPr>
          <w:trHeight w:val="250"/>
        </w:trPr>
        <w:tc>
          <w:tcPr>
            <w:tcW w:w="0" w:type="auto"/>
          </w:tcPr>
          <w:p w:rsidR="002958F2" w:rsidRPr="00266F02" w:rsidRDefault="002958F2" w:rsidP="002958F2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Vaikų</w:t>
            </w:r>
            <w:proofErr w:type="spellEnd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2958F2" w:rsidRPr="00266F02" w:rsidRDefault="002958F2" w:rsidP="002958F2">
            <w:pPr>
              <w:spacing w:after="0"/>
              <w:jc w:val="both"/>
              <w:rPr>
                <w:rFonts w:ascii="Calibri"/>
                <w:color w:val="76923C" w:themeColor="accent3" w:themeShade="BF"/>
                <w:sz w:val="20"/>
                <w:szCs w:val="20"/>
              </w:rPr>
            </w:pPr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>20</w:t>
            </w:r>
          </w:p>
        </w:tc>
      </w:tr>
      <w:tr w:rsidR="00266F02" w:rsidRPr="00266F02" w:rsidTr="002958F2">
        <w:trPr>
          <w:trHeight w:val="250"/>
        </w:trPr>
        <w:tc>
          <w:tcPr>
            <w:tcW w:w="0" w:type="auto"/>
          </w:tcPr>
          <w:p w:rsidR="002958F2" w:rsidRPr="00266F02" w:rsidRDefault="002958F2" w:rsidP="002958F2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Programos</w:t>
            </w:r>
            <w:proofErr w:type="spellEnd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vykdymo</w:t>
            </w:r>
            <w:proofErr w:type="spellEnd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vieta</w:t>
            </w:r>
            <w:proofErr w:type="spellEnd"/>
          </w:p>
        </w:tc>
        <w:tc>
          <w:tcPr>
            <w:tcW w:w="0" w:type="auto"/>
          </w:tcPr>
          <w:p w:rsidR="002958F2" w:rsidRPr="00266F02" w:rsidRDefault="002958F2" w:rsidP="002958F2">
            <w:pPr>
              <w:spacing w:after="0"/>
              <w:jc w:val="both"/>
              <w:rPr>
                <w:rFonts w:ascii="Calibri"/>
                <w:color w:val="76923C" w:themeColor="accent3" w:themeShade="BF"/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>Rokiškio</w:t>
            </w:r>
            <w:proofErr w:type="spellEnd"/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>kultūros</w:t>
            </w:r>
            <w:proofErr w:type="spellEnd"/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color w:val="76923C" w:themeColor="accent3" w:themeShade="BF"/>
                <w:sz w:val="20"/>
                <w:szCs w:val="20"/>
              </w:rPr>
              <w:t>centras</w:t>
            </w:r>
            <w:proofErr w:type="spellEnd"/>
            <w:r w:rsidR="00863A15">
              <w:rPr>
                <w:rFonts w:ascii="Calibri"/>
                <w:color w:val="76923C" w:themeColor="accent3" w:themeShade="BF"/>
                <w:sz w:val="20"/>
                <w:szCs w:val="20"/>
              </w:rPr>
              <w:t xml:space="preserve">, </w:t>
            </w:r>
            <w:proofErr w:type="spellStart"/>
            <w:r w:rsidR="00863A15">
              <w:rPr>
                <w:rFonts w:ascii="Calibri"/>
                <w:color w:val="76923C" w:themeColor="accent3" w:themeShade="BF"/>
                <w:sz w:val="20"/>
                <w:szCs w:val="20"/>
              </w:rPr>
              <w:t>Respublikos</w:t>
            </w:r>
            <w:proofErr w:type="spellEnd"/>
            <w:r w:rsidR="00863A15">
              <w:rPr>
                <w:rFonts w:ascii="Calibri"/>
                <w:color w:val="76923C" w:themeColor="accent3" w:themeShade="BF"/>
                <w:sz w:val="20"/>
                <w:szCs w:val="20"/>
              </w:rPr>
              <w:t xml:space="preserve"> g. 96, </w:t>
            </w:r>
            <w:proofErr w:type="spellStart"/>
            <w:r w:rsidR="00863A15">
              <w:rPr>
                <w:rFonts w:ascii="Calibri"/>
                <w:color w:val="76923C" w:themeColor="accent3" w:themeShade="BF"/>
                <w:sz w:val="20"/>
                <w:szCs w:val="20"/>
              </w:rPr>
              <w:t>Roki</w:t>
            </w:r>
            <w:proofErr w:type="spellEnd"/>
            <w:r w:rsidR="00863A15">
              <w:rPr>
                <w:rFonts w:ascii="Calibri"/>
                <w:color w:val="76923C" w:themeColor="accent3" w:themeShade="BF"/>
                <w:sz w:val="20"/>
                <w:szCs w:val="20"/>
                <w:lang w:val="lt-LT"/>
              </w:rPr>
              <w:t>š</w:t>
            </w:r>
            <w:proofErr w:type="spellStart"/>
            <w:r w:rsidR="00863A15">
              <w:rPr>
                <w:rFonts w:ascii="Calibri"/>
                <w:color w:val="76923C" w:themeColor="accent3" w:themeShade="BF"/>
                <w:sz w:val="20"/>
                <w:szCs w:val="20"/>
              </w:rPr>
              <w:t>kis</w:t>
            </w:r>
            <w:proofErr w:type="spellEnd"/>
          </w:p>
        </w:tc>
      </w:tr>
      <w:tr w:rsidR="00266F02" w:rsidRPr="00266F02" w:rsidTr="002958F2">
        <w:trPr>
          <w:trHeight w:val="250"/>
        </w:trPr>
        <w:tc>
          <w:tcPr>
            <w:tcW w:w="0" w:type="auto"/>
          </w:tcPr>
          <w:p w:rsidR="002958F2" w:rsidRPr="00266F02" w:rsidRDefault="002958F2" w:rsidP="00266F02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Programos</w:t>
            </w:r>
            <w:proofErr w:type="spellEnd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vykdymo</w:t>
            </w:r>
            <w:proofErr w:type="spellEnd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laikas</w:t>
            </w:r>
            <w:proofErr w:type="spellEnd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 xml:space="preserve">, </w:t>
            </w:r>
            <w:proofErr w:type="spellStart"/>
            <w:r w:rsidRPr="00266F02">
              <w:rPr>
                <w:rFonts w:ascii="Calibri"/>
                <w:b/>
                <w:color w:val="76923C" w:themeColor="accent3" w:themeShade="BF"/>
                <w:sz w:val="20"/>
                <w:szCs w:val="20"/>
              </w:rPr>
              <w:t>laiką</w:t>
            </w:r>
            <w:proofErr w:type="spellEnd"/>
          </w:p>
        </w:tc>
        <w:tc>
          <w:tcPr>
            <w:tcW w:w="0" w:type="auto"/>
          </w:tcPr>
          <w:p w:rsidR="007952EB" w:rsidRPr="008E08C3" w:rsidRDefault="007952EB" w:rsidP="008E08C3">
            <w:pPr>
              <w:pStyle w:val="Betarp"/>
              <w:rPr>
                <w:color w:val="76923C" w:themeColor="accent3" w:themeShade="BF"/>
                <w:lang w:val="lt-LT"/>
              </w:rPr>
            </w:pPr>
            <w:r w:rsidRPr="008E08C3">
              <w:rPr>
                <w:color w:val="76923C" w:themeColor="accent3" w:themeShade="BF"/>
                <w:lang w:val="lt-LT"/>
              </w:rPr>
              <w:t>Pirmadieniais ir trečiadieniais nuo 16.00 iki 19.00 val.</w:t>
            </w:r>
          </w:p>
          <w:p w:rsidR="007952EB" w:rsidRPr="008E08C3" w:rsidRDefault="007952EB" w:rsidP="008E08C3">
            <w:pPr>
              <w:pStyle w:val="Betarp"/>
              <w:rPr>
                <w:color w:val="76923C" w:themeColor="accent3" w:themeShade="BF"/>
                <w:lang w:val="lt-LT"/>
              </w:rPr>
            </w:pPr>
            <w:r w:rsidRPr="008E08C3">
              <w:rPr>
                <w:color w:val="76923C" w:themeColor="accent3" w:themeShade="BF"/>
                <w:lang w:val="lt-LT"/>
              </w:rPr>
              <w:t>1 gr. 4 val. per savaitę nuo 16 val. iki 19 val.</w:t>
            </w:r>
          </w:p>
          <w:p w:rsidR="002958F2" w:rsidRPr="00266F02" w:rsidRDefault="007952EB" w:rsidP="008E08C3">
            <w:pPr>
              <w:pStyle w:val="Betarp"/>
              <w:rPr>
                <w:rFonts w:ascii="Calibri"/>
                <w:color w:val="76923C" w:themeColor="accent3" w:themeShade="BF"/>
                <w:sz w:val="20"/>
                <w:szCs w:val="20"/>
              </w:rPr>
            </w:pPr>
            <w:r w:rsidRPr="008E08C3">
              <w:rPr>
                <w:color w:val="76923C" w:themeColor="accent3" w:themeShade="BF"/>
                <w:lang w:val="lt-LT"/>
              </w:rPr>
              <w:t>2 gr. 4 val. per savaitę  nuo 16 val. iki 19 val.</w:t>
            </w:r>
          </w:p>
        </w:tc>
      </w:tr>
    </w:tbl>
    <w:p w:rsidR="00B2476E" w:rsidRPr="00266F02" w:rsidRDefault="00B2476E">
      <w:pPr>
        <w:rPr>
          <w:sz w:val="20"/>
          <w:szCs w:val="20"/>
        </w:rPr>
      </w:pPr>
    </w:p>
    <w:sectPr w:rsidR="00B2476E" w:rsidRPr="00266F02" w:rsidSect="00907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7465"/>
    <w:rsid w:val="00081E52"/>
    <w:rsid w:val="00266F02"/>
    <w:rsid w:val="002958F2"/>
    <w:rsid w:val="00540C90"/>
    <w:rsid w:val="005521E4"/>
    <w:rsid w:val="0057750C"/>
    <w:rsid w:val="007952EB"/>
    <w:rsid w:val="00863A15"/>
    <w:rsid w:val="008E08C3"/>
    <w:rsid w:val="00907E57"/>
    <w:rsid w:val="00AE7465"/>
    <w:rsid w:val="00B2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7E5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958F2"/>
    <w:rPr>
      <w:color w:val="0000FF" w:themeColor="hyperlink"/>
      <w:u w:val="single"/>
    </w:rPr>
  </w:style>
  <w:style w:type="paragraph" w:styleId="Betarp">
    <w:name w:val="No Spacing"/>
    <w:uiPriority w:val="1"/>
    <w:qFormat/>
    <w:rsid w:val="008E08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unimas@zebr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2513</Characters>
  <Application>Microsoft Office Word</Application>
  <DocSecurity>0</DocSecurity>
  <Lines>20</Lines>
  <Paragraphs>5</Paragraphs>
  <ScaleCrop>false</ScaleCrop>
  <Company>Svietimo skyrius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9</cp:revision>
  <dcterms:created xsi:type="dcterms:W3CDTF">2015-10-20T12:59:00Z</dcterms:created>
  <dcterms:modified xsi:type="dcterms:W3CDTF">2016-02-25T12:49:00Z</dcterms:modified>
</cp:coreProperties>
</file>